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E71EF" w14:textId="7C32205E" w:rsidR="00DB75A4" w:rsidRDefault="00A96FEE">
      <w:pPr>
        <w:pStyle w:val="BodyText"/>
        <w:rPr>
          <w:sz w:val="20"/>
          <w:rFonts w:ascii="Times New Roman" w:hint="eastAsia" w:eastAsia="SimSun"/>
        </w:rPr>
      </w:pPr>
      <w:r>
        <w:rPr>
          <w:sz w:val="20"/>
          <w:rFonts w:ascii="Times New Roman" w:hint="eastAsia" w:eastAsia="SimSun"/>
        </w:rPr>
        <mc:AlternateContent>
          <mc:Choice Requires="wps">
            <w:drawing>
              <wp:anchor distT="0" distB="0" distL="114300" distR="114300" simplePos="0" relativeHeight="251658240" behindDoc="1" locked="0" layoutInCell="1" allowOverlap="1" wp14:anchorId="76AE724E" wp14:editId="0ECD7C9C">
                <wp:simplePos x="0" y="0"/>
                <wp:positionH relativeFrom="page">
                  <wp:posOffset>4888230</wp:posOffset>
                </wp:positionH>
                <wp:positionV relativeFrom="page">
                  <wp:posOffset>429895</wp:posOffset>
                </wp:positionV>
                <wp:extent cx="248031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6938" w14:textId="77777777" w:rsidR="00A96FEE" w:rsidRDefault="00A96FEE" w:rsidP="00A96FEE">
                            <w:pPr>
                              <w:spacing w:before="20"/>
                              <w:ind w:left="20"/>
                              <w:rPr>
                                <w:b/>
                                <w:sz w:val="24"/>
                                <w:rFonts w:ascii="Century Gothic" w:hint="eastAsia" w:eastAsia="SimSun"/>
                              </w:rPr>
                            </w:pPr>
                            <w:r>
                              <w:rPr>
                                <w:b/>
                                <w:sz w:val="24"/>
                                <w:rFonts w:ascii="Century Gothic" w:hint="eastAsia" w:eastAsia="SimSun"/>
                              </w:rPr>
                              <w:t xml:space="preserve">行政政策手册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4.9pt;margin-top:33.85pt;width:195.3pt;height:1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c/qgIAAKk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" filled="f" stroked="f">
                <v:textbox inset="0,0,0,0">
                  <w:txbxContent>
                    <w:p w14:paraId="1CCF6938" w14:textId="77777777" w:rsidR="00A96FEE" w:rsidRDefault="00A96FEE" w:rsidP="00A96FEE">
                      <w:pPr>
                        <w:spacing w:before="20"/>
                        <w:ind w:left="20"/>
                        <w:rPr>
                          <w:b/>
                          <w:sz w:val="24"/>
                          <w:rFonts w:ascii="Century Gothic" w:hint="eastAsia" w:eastAsia="SimSun"/>
                        </w:rPr>
                      </w:pPr>
                      <w:r>
                        <w:rPr>
                          <w:b/>
                          <w:sz w:val="24"/>
                          <w:rFonts w:ascii="Century Gothic" w:hint="eastAsia" w:eastAsia="SimSun"/>
                        </w:rPr>
                        <w:t xml:space="preserve">行政政策手册</w:t>
                      </w:r>
                    </w:p>
                  </w:txbxContent>
                </v:textbox>
                <w10:wrap anchorx="page" anchory="page"/>
              </v:shape>
            </w:pict>
          </mc:Fallback>
        </mc:AlternateContent>
      </w:r>
    </w:p>
    <w:p w14:paraId="76AE71F2" w14:textId="77777777" w:rsidR="00DB75A4" w:rsidRDefault="00DB75A4">
      <w:pPr>
        <w:pStyle w:val="BodyText"/>
        <w:spacing w:before="6"/>
        <w:rPr>
          <w:rFonts w:ascii="Times New Roman"/>
          <w:sz w:val="23"/>
        </w:rPr>
      </w:pPr>
    </w:p>
    <w:p w14:paraId="76AE7205" w14:textId="25EBB6E2" w:rsidR="00DB75A4" w:rsidRDefault="002E014C">
      <w:pPr>
        <w:spacing w:before="182"/>
        <w:ind w:left="680"/>
        <w:rPr>
          <w:i/>
          <w:sz w:val="24"/>
          <w:rFonts w:hint="eastAsia"/>
        </w:rPr>
      </w:pPr>
      <w:bookmarkStart w:id="0" w:name="SECTION_1:_PURPOSE_(1.10.010)"/>
      <w:bookmarkEnd w:id="0"/>
      <w:r>
        <w:rPr>
          <w:b/>
          <w:sz w:val="24"/>
          <w:u w:val="single"/>
          <w:rFonts w:hint="eastAsia"/>
        </w:rPr>
        <w:t xml:space="preserve">第1节：</w:t>
      </w:r>
      <w:r>
        <w:rPr>
          <w:b/>
          <w:sz w:val="24"/>
          <w:u w:val="single"/>
          <w:rFonts w:hint="eastAsia"/>
        </w:rPr>
        <w:t xml:space="preserve">目的</w:t>
      </w:r>
      <w:r>
        <w:rPr>
          <w:b/>
          <w:sz w:val="24"/>
          <w:rFonts w:hint="eastAsia"/>
        </w:rPr>
        <w:t xml:space="preserve"> </w:t>
      </w:r>
    </w:p>
    <w:p w14:paraId="76AE7206" w14:textId="77777777" w:rsidR="00DB75A4" w:rsidRDefault="00DB75A4">
      <w:pPr>
        <w:pStyle w:val="BodyText"/>
        <w:spacing w:before="4"/>
        <w:rPr>
          <w:i/>
          <w:sz w:val="15"/>
        </w:rPr>
      </w:pPr>
    </w:p>
    <w:p w14:paraId="76AE7207" w14:textId="66DBFA39" w:rsidR="00DB75A4" w:rsidRDefault="000639C3">
      <w:pPr>
        <w:pStyle w:val="BodyText"/>
        <w:spacing w:before="101"/>
        <w:ind w:left="680" w:right="815"/>
        <w:jc w:val="both"/>
        <w:rPr>
          <w:rFonts w:hint="eastAsia"/>
        </w:rPr>
      </w:pPr>
      <w:r>
        <w:rPr>
          <w:rFonts w:hint="eastAsia"/>
        </w:rPr>
        <w:t xml:space="preserve">根据《停水保护法案》（加利福尼亚州健康和安全法典第116900–116926章），Littlerock Creek灌溉区特此采取相关书面政策，其中包含因未缴费而停止居民供水服务前的某些程序。</w:t>
      </w:r>
      <w:r>
        <w:rPr>
          <w:rFonts w:hint="eastAsia"/>
        </w:rPr>
        <w:t xml:space="preserve">此外，居民供水服务必须至少欠缴60天才可进行断水。</w:t>
      </w:r>
    </w:p>
    <w:p w14:paraId="76AE7208" w14:textId="77777777" w:rsidR="00DB75A4" w:rsidRDefault="00DB75A4">
      <w:pPr>
        <w:pStyle w:val="BodyText"/>
        <w:spacing w:before="9"/>
        <w:rPr>
          <w:sz w:val="23"/>
        </w:rPr>
      </w:pPr>
    </w:p>
    <w:p w14:paraId="76AE7209" w14:textId="3804F6DD" w:rsidR="00DB75A4" w:rsidRDefault="002E014C">
      <w:pPr>
        <w:ind w:left="680"/>
        <w:jc w:val="both"/>
        <w:rPr>
          <w:i/>
          <w:sz w:val="24"/>
          <w:rFonts w:hint="eastAsia"/>
        </w:rPr>
      </w:pPr>
      <w:r>
        <w:rPr>
          <w:b/>
          <w:sz w:val="24"/>
          <w:u w:val="single"/>
          <w:rFonts w:hint="eastAsia"/>
        </w:rPr>
        <w:t xml:space="preserve">第2节：</w:t>
      </w:r>
      <w:r>
        <w:rPr>
          <w:b/>
          <w:sz w:val="24"/>
          <w:u w:val="single"/>
          <w:rFonts w:hint="eastAsia"/>
        </w:rPr>
        <w:t xml:space="preserve">政策声明</w:t>
      </w:r>
    </w:p>
    <w:p w14:paraId="76AE720A" w14:textId="77777777" w:rsidR="00DB75A4" w:rsidRDefault="00DB75A4">
      <w:pPr>
        <w:pStyle w:val="BodyText"/>
        <w:spacing w:before="5"/>
        <w:rPr>
          <w:i/>
          <w:sz w:val="15"/>
        </w:rPr>
      </w:pPr>
    </w:p>
    <w:p w14:paraId="76AE720B" w14:textId="65DDE8B8" w:rsidR="00DB75A4" w:rsidRDefault="002E014C">
      <w:pPr>
        <w:pStyle w:val="BodyText"/>
        <w:spacing w:before="100"/>
        <w:ind w:left="680" w:right="814"/>
        <w:jc w:val="both"/>
        <w:rPr>
          <w:rFonts w:hint="eastAsia"/>
        </w:rPr>
      </w:pPr>
      <w:r>
        <w:rPr>
          <w:rFonts w:hint="eastAsia"/>
        </w:rPr>
        <w:t xml:space="preserve">如果居民供水服务欠缴60天或以上，本区将在遵守《停水保护法案》（如适用）的前提下中断供水服务。</w:t>
      </w:r>
      <w:r>
        <w:rPr>
          <w:rFonts w:hint="eastAsia"/>
        </w:rPr>
        <w:t xml:space="preserve">本政策旨在作为指引，告知本区客户进行水费补缴的方案，以便导致居民供水服务中断。</w:t>
      </w:r>
      <w:r>
        <w:rPr>
          <w:rFonts w:hint="eastAsia"/>
        </w:rPr>
        <w:t xml:space="preserve">如果本政策与本区的任何其他规则、法规或政策相冲突，应以本政策为准。</w:t>
      </w:r>
      <w:r>
        <w:rPr>
          <w:rFonts w:hint="eastAsia"/>
        </w:rPr>
        <w:t xml:space="preserve">本政策不适用于任何非居民供水服务。</w:t>
      </w:r>
    </w:p>
    <w:p w14:paraId="76AE720C" w14:textId="77777777" w:rsidR="00DB75A4" w:rsidRDefault="00DB75A4">
      <w:pPr>
        <w:pStyle w:val="BodyText"/>
      </w:pPr>
    </w:p>
    <w:p w14:paraId="76AE720D" w14:textId="7847EAE0" w:rsidR="00DB75A4" w:rsidRDefault="002E014C">
      <w:pPr>
        <w:spacing w:before="1"/>
        <w:ind w:left="680"/>
        <w:jc w:val="both"/>
        <w:rPr>
          <w:i/>
          <w:sz w:val="24"/>
          <w:rFonts w:hint="eastAsia"/>
        </w:rPr>
      </w:pPr>
      <w:r>
        <w:rPr>
          <w:b/>
          <w:sz w:val="24"/>
          <w:u w:val="single"/>
          <w:rFonts w:hint="eastAsia"/>
        </w:rPr>
        <w:t xml:space="preserve">第3节：</w:t>
      </w:r>
      <w:r>
        <w:rPr>
          <w:b/>
          <w:sz w:val="24"/>
          <w:u w:val="single"/>
          <w:rFonts w:hint="eastAsia"/>
        </w:rPr>
        <w:t xml:space="preserve">付款安排</w:t>
      </w:r>
      <w:r>
        <w:rPr>
          <w:b/>
          <w:sz w:val="24"/>
          <w:rFonts w:hint="eastAsia"/>
        </w:rPr>
        <w:t xml:space="preserve"> </w:t>
      </w:r>
    </w:p>
    <w:p w14:paraId="76AE720E" w14:textId="77777777" w:rsidR="00DB75A4" w:rsidRDefault="00DB75A4">
      <w:pPr>
        <w:pStyle w:val="BodyText"/>
        <w:spacing w:before="4"/>
        <w:rPr>
          <w:i/>
          <w:sz w:val="15"/>
        </w:rPr>
      </w:pPr>
    </w:p>
    <w:p w14:paraId="77A57AF9" w14:textId="56C07299" w:rsidR="00E8149B" w:rsidRDefault="002E014C" w:rsidP="00E8149B">
      <w:pPr>
        <w:pStyle w:val="BodyText"/>
        <w:spacing w:before="199"/>
        <w:ind w:left="680" w:right="814"/>
        <w:jc w:val="both"/>
        <w:rPr>
          <w:rFonts w:hint="eastAsia"/>
        </w:rPr>
      </w:pPr>
      <w:r>
        <w:rPr>
          <w:rFonts w:hint="eastAsia"/>
        </w:rPr>
        <w:t xml:space="preserve">只有在收到断水通知后，客户才可申请延长缴费期限。</w:t>
      </w:r>
      <w:r>
        <w:rPr>
          <w:rFonts w:hint="eastAsia"/>
        </w:rPr>
        <w:t xml:space="preserve">本区将酌情考虑是否准予延长缴费期限。</w:t>
      </w:r>
      <w:r>
        <w:rPr>
          <w:rFonts w:hint="eastAsia"/>
        </w:rPr>
        <w:t xml:space="preserve">延长到期日期不得超过断水通知所载最终缴费期限后7天。</w:t>
      </w:r>
      <w:r>
        <w:rPr>
          <w:rFonts w:hint="eastAsia"/>
        </w:rPr>
        <w:t xml:space="preserve">有四份或以上未缴费账单的账户将不会被准予延长缴费期限。</w:t>
      </w:r>
      <w:r>
        <w:rPr>
          <w:rFonts w:hint="eastAsia"/>
        </w:rPr>
        <w:t xml:space="preserve"> </w:t>
      </w:r>
    </w:p>
    <w:p w14:paraId="1F3DC087" w14:textId="117CE44D" w:rsidR="00E8149B" w:rsidRDefault="00E8149B" w:rsidP="00E8149B">
      <w:pPr>
        <w:pStyle w:val="BodyText"/>
        <w:spacing w:before="199"/>
        <w:ind w:left="680" w:right="814"/>
        <w:jc w:val="both"/>
        <w:rPr>
          <w:rFonts w:hint="eastAsia"/>
        </w:rPr>
      </w:pPr>
      <w:r>
        <w:rPr>
          <w:rFonts w:hint="eastAsia"/>
        </w:rPr>
        <w:t xml:space="preserve">收到断水通知后，客户也可以申请分期缴费。</w:t>
      </w:r>
      <w:r>
        <w:rPr>
          <w:rFonts w:hint="eastAsia"/>
        </w:rPr>
        <w:t xml:space="preserve">为避免客户陷入不必要的困境，本区将酌情考虑是否准予分期缴费。</w:t>
      </w:r>
      <w:r>
        <w:rPr>
          <w:rFonts w:hint="eastAsia"/>
        </w:rPr>
        <w:t xml:space="preserve">分期缴费者必须在12个月内缴清之前所有应缴款项。</w:t>
      </w:r>
      <w:r>
        <w:rPr>
          <w:rFonts w:hint="eastAsia"/>
        </w:rPr>
        <w:t xml:space="preserve">如果依据本第3节的规定客户被准予延长缴费期限或分期缴费，但是未能在相应的截止日期之前缴清所有应缴款项，本区可中断其供水服务。</w:t>
      </w:r>
    </w:p>
    <w:p w14:paraId="76AE7214" w14:textId="77777777" w:rsidR="00DB75A4" w:rsidRDefault="00DB75A4">
      <w:pPr>
        <w:pStyle w:val="BodyText"/>
      </w:pPr>
    </w:p>
    <w:p w14:paraId="76AE7215" w14:textId="4FC9F03D" w:rsidR="00DB75A4" w:rsidRDefault="002E014C">
      <w:pPr>
        <w:pStyle w:val="Heading1"/>
        <w:spacing w:before="1"/>
        <w:ind w:right="822"/>
        <w:jc w:val="both"/>
        <w:rPr>
          <w:b w:val="0"/>
          <w:i/>
          <w:rFonts w:hint="eastAsia"/>
        </w:rPr>
      </w:pPr>
      <w:r>
        <w:rPr>
          <w:u w:val="single"/>
          <w:rFonts w:hint="eastAsia"/>
        </w:rPr>
        <w:t xml:space="preserve">第4节：</w:t>
      </w:r>
      <w:r>
        <w:rPr>
          <w:u w:val="single"/>
          <w:rFonts w:hint="eastAsia"/>
        </w:rPr>
        <w:t xml:space="preserve">供水服务将不会中断的特殊医疗和财务状况</w:t>
      </w:r>
      <w:r>
        <w:rPr>
          <w:rFonts w:hint="eastAsia"/>
        </w:rPr>
        <w:t xml:space="preserve"> </w:t>
      </w:r>
    </w:p>
    <w:p w14:paraId="76AE7216" w14:textId="77777777" w:rsidR="00DB75A4" w:rsidRDefault="00DB75A4">
      <w:pPr>
        <w:pStyle w:val="BodyText"/>
        <w:spacing w:before="4"/>
        <w:rPr>
          <w:i/>
          <w:sz w:val="15"/>
        </w:rPr>
      </w:pPr>
    </w:p>
    <w:p w14:paraId="76AE7217" w14:textId="77777777" w:rsidR="00DB75A4" w:rsidRDefault="002E014C" w:rsidP="00A96FEE">
      <w:pPr>
        <w:pStyle w:val="Heading2"/>
        <w:numPr>
          <w:ilvl w:val="0"/>
          <w:numId w:val="2"/>
        </w:numPr>
        <w:spacing w:before="100"/>
        <w:ind w:left="1080"/>
        <w:rPr>
          <w:b w:val="0"/>
          <w:rFonts w:hint="eastAsia"/>
        </w:rPr>
      </w:pPr>
      <w:r>
        <w:rPr>
          <w:rFonts w:hint="eastAsia"/>
        </w:rPr>
        <w:t xml:space="preserve">条件</w:t>
      </w:r>
    </w:p>
    <w:p w14:paraId="76AE7218" w14:textId="70DC62A0" w:rsidR="00DB75A4" w:rsidRDefault="004C6E0A">
      <w:pPr>
        <w:pStyle w:val="BodyText"/>
        <w:ind w:left="1040" w:right="818"/>
        <w:jc w:val="both"/>
        <w:rPr>
          <w:rFonts w:hint="eastAsia"/>
        </w:rPr>
      </w:pPr>
      <w:r>
        <w:rPr>
          <w:rFonts w:hint="eastAsia"/>
        </w:rPr>
        <w:t xml:space="preserve">如果以下三个条件均满足，本区将不会中断供水服务：</w:t>
      </w:r>
    </w:p>
    <w:p w14:paraId="76AE7219" w14:textId="77777777" w:rsidR="00DB75A4" w:rsidRDefault="00DB75A4">
      <w:pPr>
        <w:pStyle w:val="BodyText"/>
      </w:pPr>
    </w:p>
    <w:p w14:paraId="76AE721A" w14:textId="6552528C" w:rsidR="00DB75A4" w:rsidRDefault="002E014C">
      <w:pPr>
        <w:pStyle w:val="ListParagraph"/>
        <w:numPr>
          <w:ilvl w:val="1"/>
          <w:numId w:val="2"/>
        </w:numPr>
        <w:tabs>
          <w:tab w:val="left" w:pos="1400"/>
        </w:tabs>
        <w:spacing w:before="1"/>
        <w:ind w:left="1399" w:right="818"/>
        <w:rPr>
          <w:sz w:val="24"/>
          <w:rFonts w:hint="eastAsia"/>
        </w:rPr>
      </w:pPr>
      <w:r>
        <w:rPr>
          <w:sz w:val="24"/>
          <w:rFonts w:hint="eastAsia"/>
        </w:rPr>
        <w:t xml:space="preserve">客户或者客户的承租人向本区提交经许可基础医疗机构/初级保健提供者出具的证明，证明中断供水服务将对本区向其提供居民供水服务的处所的居民构成生命威胁，或对其健康和安全构成严重威胁。</w:t>
      </w:r>
    </w:p>
    <w:p w14:paraId="76AE721B" w14:textId="77777777" w:rsidR="00DB75A4" w:rsidRDefault="00DB75A4">
      <w:pPr>
        <w:pStyle w:val="BodyText"/>
        <w:spacing w:before="9"/>
        <w:rPr>
          <w:sz w:val="23"/>
        </w:rPr>
      </w:pPr>
    </w:p>
    <w:p w14:paraId="76AE721C" w14:textId="0CDACC0D" w:rsidR="00DB75A4" w:rsidRDefault="002E014C" w:rsidP="003A6CBC">
      <w:pPr>
        <w:pStyle w:val="ListParagraph"/>
        <w:keepNext/>
        <w:keepLines/>
        <w:numPr>
          <w:ilvl w:val="1"/>
          <w:numId w:val="2"/>
        </w:numPr>
        <w:tabs>
          <w:tab w:val="left" w:pos="1400"/>
        </w:tabs>
        <w:ind w:left="1399" w:right="815"/>
        <w:rPr>
          <w:sz w:val="24"/>
          <w:rFonts w:hint="eastAsia"/>
        </w:rPr>
      </w:pPr>
      <w:r>
        <w:rPr>
          <w:sz w:val="24"/>
          <w:rFonts w:hint="eastAsia"/>
        </w:rPr>
        <w:t xml:space="preserve">客户无力在本区的正常计费周期内缴纳居民供水服务费用。</w:t>
      </w:r>
      <w:r>
        <w:rPr>
          <w:sz w:val="24"/>
          <w:rFonts w:hint="eastAsia"/>
        </w:rPr>
        <w:t xml:space="preserve">如果出现以下情况，则认为客户在正常计费周期内在财务上无力缴费：</w:t>
      </w:r>
    </w:p>
    <w:p w14:paraId="76AE721D" w14:textId="77777777" w:rsidR="00DB75A4" w:rsidRDefault="00DB75A4" w:rsidP="003A6CBC">
      <w:pPr>
        <w:pStyle w:val="BodyText"/>
        <w:keepNext/>
        <w:keepLines/>
      </w:pPr>
    </w:p>
    <w:p w14:paraId="76AE721E" w14:textId="77777777" w:rsidR="00DB75A4" w:rsidRDefault="002E014C" w:rsidP="003A6CBC">
      <w:pPr>
        <w:pStyle w:val="ListParagraph"/>
        <w:keepNext/>
        <w:keepLines/>
        <w:numPr>
          <w:ilvl w:val="2"/>
          <w:numId w:val="2"/>
        </w:numPr>
        <w:tabs>
          <w:tab w:val="left" w:pos="1890"/>
        </w:tabs>
        <w:ind w:left="1980" w:right="816"/>
        <w:rPr>
          <w:sz w:val="24"/>
          <w:rFonts w:hint="eastAsia"/>
        </w:rPr>
      </w:pPr>
      <w:r>
        <w:rPr>
          <w:sz w:val="24"/>
          <w:rFonts w:hint="eastAsia"/>
        </w:rPr>
        <w:t xml:space="preserve">客户处所的任何住户当前加入了CalWORKs、CalFresh、一般救助方案、Medi-Cal、California SSI/SSP、针对妇女、婴儿和儿童的特殊补充营养计划等计划；或</w:t>
      </w:r>
    </w:p>
    <w:p w14:paraId="76AE721F" w14:textId="595D069B" w:rsidR="00DB75A4" w:rsidRDefault="002E014C" w:rsidP="00A96FEE">
      <w:pPr>
        <w:pStyle w:val="ListParagraph"/>
        <w:numPr>
          <w:ilvl w:val="2"/>
          <w:numId w:val="2"/>
        </w:numPr>
        <w:tabs>
          <w:tab w:val="left" w:pos="1890"/>
        </w:tabs>
        <w:ind w:left="1980" w:right="816"/>
        <w:rPr>
          <w:sz w:val="24"/>
          <w:rFonts w:hint="eastAsia"/>
        </w:rPr>
      </w:pPr>
      <w:r>
        <w:rPr>
          <w:sz w:val="24"/>
          <w:rFonts w:hint="eastAsia"/>
        </w:rPr>
        <w:t xml:space="preserve">客户表示，其家庭收入低于联邦贫困线的百分之二百，否者甘愿受伪证罪的处罚。</w:t>
      </w:r>
      <w:r>
        <w:rPr>
          <w:sz w:val="24"/>
          <w:rFonts w:hint="eastAsia"/>
        </w:rPr>
        <w:t xml:space="preserve">将为客户提供一份证明表格，以进行申报。</w:t>
      </w:r>
      <w:r>
        <w:rPr>
          <w:sz w:val="24"/>
          <w:rFonts w:hint="eastAsia"/>
        </w:rPr>
        <w:t xml:space="preserve"> </w:t>
      </w:r>
    </w:p>
    <w:p w14:paraId="76AE7220" w14:textId="77777777" w:rsidR="00DB75A4" w:rsidRDefault="00DB75A4">
      <w:pPr>
        <w:pStyle w:val="BodyText"/>
      </w:pPr>
    </w:p>
    <w:p w14:paraId="76AE7221" w14:textId="0B61A6A6" w:rsidR="00DB75A4" w:rsidRPr="001808B7" w:rsidRDefault="002E014C" w:rsidP="001808B7">
      <w:pPr>
        <w:pStyle w:val="ListParagraph"/>
        <w:numPr>
          <w:ilvl w:val="1"/>
          <w:numId w:val="2"/>
        </w:numPr>
        <w:tabs>
          <w:tab w:val="left" w:pos="1400"/>
        </w:tabs>
        <w:ind w:left="1399" w:right="816"/>
        <w:rPr>
          <w:sz w:val="24"/>
          <w:rFonts w:hint="eastAsia"/>
        </w:rPr>
      </w:pPr>
      <w:r>
        <w:rPr>
          <w:sz w:val="24"/>
          <w:rFonts w:hint="eastAsia"/>
        </w:rPr>
        <w:t xml:space="preserve">客户愿意与本区就欠缴延期或其他缴费方案达成书面协议。</w:t>
      </w:r>
      <w:r>
        <w:rPr>
          <w:sz w:val="24"/>
          <w:rFonts w:hint="eastAsia"/>
        </w:rPr>
        <w:t xml:space="preserve">书面协议中所载之缴费方案中的条款、条件由本区拟定。</w:t>
      </w:r>
      <w:r>
        <w:rPr>
          <w:sz w:val="24"/>
          <w:rFonts w:hint="eastAsia"/>
        </w:rPr>
        <w:t xml:space="preserve">在任何情况下，书面协议有效期均不得超过12个月。</w:t>
      </w:r>
      <w:r>
        <w:rPr>
          <w:sz w:val="24"/>
          <w:rFonts w:hint="eastAsia"/>
        </w:rPr>
        <w:t xml:space="preserve"> </w:t>
      </w:r>
    </w:p>
    <w:p w14:paraId="76AE7222" w14:textId="77777777" w:rsidR="00DB75A4" w:rsidRDefault="00DB75A4">
      <w:pPr>
        <w:pStyle w:val="BodyText"/>
      </w:pPr>
    </w:p>
    <w:p w14:paraId="76AE7223" w14:textId="201B5D96" w:rsidR="00DB75A4" w:rsidRDefault="002E014C" w:rsidP="00A96FEE">
      <w:pPr>
        <w:pStyle w:val="Heading2"/>
        <w:numPr>
          <w:ilvl w:val="0"/>
          <w:numId w:val="2"/>
        </w:numPr>
        <w:tabs>
          <w:tab w:val="left" w:pos="1080"/>
        </w:tabs>
        <w:ind w:left="1080"/>
        <w:rPr>
          <w:rFonts w:hint="eastAsia"/>
        </w:rPr>
      </w:pPr>
      <w:r>
        <w:rPr>
          <w:rFonts w:hint="eastAsia"/>
        </w:rPr>
        <w:t xml:space="preserve">资格认定的客户呈示和区审</w:t>
      </w:r>
    </w:p>
    <w:p w14:paraId="76AE7224" w14:textId="1C6CB40D" w:rsidR="00DB75A4" w:rsidRDefault="002E014C">
      <w:pPr>
        <w:pStyle w:val="BodyText"/>
        <w:ind w:left="1040" w:right="813"/>
        <w:jc w:val="both"/>
        <w:rPr>
          <w:rFonts w:hint="eastAsia"/>
        </w:rPr>
      </w:pPr>
      <w:r>
        <w:rPr>
          <w:rFonts w:hint="eastAsia"/>
        </w:rPr>
        <w:t xml:space="preserve">客户负责呈示其满足上文第4.A节提出的条件。</w:t>
      </w:r>
      <w:r>
        <w:rPr>
          <w:rFonts w:hint="eastAsia"/>
        </w:rPr>
        <w:t xml:space="preserve">在收到客户的材料后，本区将在7个日历日内进行审核，并且：</w:t>
      </w:r>
      <w:r>
        <w:rPr>
          <w:rFonts w:hint="eastAsia"/>
        </w:rPr>
        <w:t xml:space="preserve">（a）通知客户本区拟定的条款和条件，并要求客户在缴费方案协议上签字；（b）要求客户提供更多信息；或者（c）通知客户其不符合资格。</w:t>
      </w:r>
    </w:p>
    <w:p w14:paraId="76AE7225" w14:textId="77777777" w:rsidR="00DB75A4" w:rsidRDefault="00DB75A4">
      <w:pPr>
        <w:pStyle w:val="BodyText"/>
        <w:spacing w:before="1"/>
      </w:pPr>
    </w:p>
    <w:p w14:paraId="76AE7226" w14:textId="77777777" w:rsidR="00DB75A4" w:rsidRDefault="002E014C" w:rsidP="00A96FEE">
      <w:pPr>
        <w:pStyle w:val="Heading2"/>
        <w:numPr>
          <w:ilvl w:val="0"/>
          <w:numId w:val="2"/>
        </w:numPr>
        <w:tabs>
          <w:tab w:val="left" w:pos="1080"/>
        </w:tabs>
        <w:ind w:left="1080"/>
        <w:rPr>
          <w:rFonts w:hint="eastAsia"/>
        </w:rPr>
      </w:pPr>
      <w:r>
        <w:rPr>
          <w:rFonts w:hint="eastAsia"/>
        </w:rPr>
        <w:t xml:space="preserve">不遵从</w:t>
      </w:r>
    </w:p>
    <w:p w14:paraId="76AE7227" w14:textId="639FB701" w:rsidR="00DB75A4" w:rsidRDefault="002E014C">
      <w:pPr>
        <w:pStyle w:val="BodyText"/>
        <w:ind w:left="1040" w:right="814"/>
        <w:jc w:val="both"/>
        <w:rPr>
          <w:rFonts w:hint="eastAsia"/>
        </w:rPr>
      </w:pPr>
      <w:r>
        <w:rPr>
          <w:rFonts w:hint="eastAsia"/>
        </w:rPr>
        <w:t xml:space="preserve">如果根据本第4节的规定获准予相应的付款安排，但是在60天或以上的期限内未能履行以下任何一条，本区可中断其供水服务：</w:t>
      </w:r>
    </w:p>
    <w:p w14:paraId="76AE722A" w14:textId="3D0D763A" w:rsidR="00DB75A4" w:rsidRDefault="002E014C" w:rsidP="00A96FEE">
      <w:pPr>
        <w:pStyle w:val="BodyText"/>
        <w:ind w:left="1039" w:right="814"/>
        <w:jc w:val="both"/>
        <w:rPr>
          <w:rFonts w:hint="eastAsia"/>
        </w:rPr>
      </w:pPr>
      <w:r>
        <w:rPr>
          <w:rFonts w:hint="eastAsia"/>
        </w:rPr>
        <w:t xml:space="preserve">（i）缴纳缴费方案下的任何应缴款项；或者（ii）缴费方案生效期间，缴纳其供水服务的本期费用。</w:t>
      </w:r>
      <w:r>
        <w:rPr>
          <w:rFonts w:hint="eastAsia"/>
        </w:rPr>
        <w:t xml:space="preserve">在中断供水服务前，本区将至少提前5个工作日在供水地点的显眼处张贴中断供水服务的最终通知。</w:t>
      </w:r>
      <w:r>
        <w:rPr>
          <w:rFonts w:hint="eastAsia"/>
        </w:rPr>
        <w:t xml:space="preserve">最终通知并不会授予客户要求本区召开第5节所述调查或审核的权利。</w:t>
      </w:r>
    </w:p>
    <w:p w14:paraId="76AE722B" w14:textId="487D61CA" w:rsidR="00DB75A4" w:rsidRDefault="00E309BF">
      <w:pPr>
        <w:pStyle w:val="BodyText"/>
        <w:rPr>
          <w:rFonts w:hint="eastAsia"/>
        </w:rPr>
      </w:pPr>
      <w:r>
        <w:rPr>
          <w:rFonts w:hint="eastAsia"/>
        </w:rPr>
        <w:t xml:space="preserve"> </w:t>
      </w:r>
    </w:p>
    <w:p w14:paraId="76AE722C" w14:textId="3D75A534" w:rsidR="00DB75A4" w:rsidRDefault="002E014C">
      <w:pPr>
        <w:pStyle w:val="Heading1"/>
        <w:rPr>
          <w:b w:val="0"/>
          <w:i/>
          <w:rFonts w:hint="eastAsia"/>
        </w:rPr>
      </w:pPr>
      <w:r>
        <w:rPr>
          <w:u w:val="single"/>
          <w:rFonts w:hint="eastAsia"/>
        </w:rPr>
        <w:t xml:space="preserve">第5节：</w:t>
      </w:r>
      <w:r>
        <w:rPr>
          <w:u w:val="single"/>
          <w:rFonts w:hint="eastAsia"/>
        </w:rPr>
        <w:t xml:space="preserve">对账单提出疑义的程序</w:t>
      </w:r>
      <w:r>
        <w:rPr>
          <w:rFonts w:hint="eastAsia"/>
        </w:rPr>
        <w:t xml:space="preserve"> </w:t>
      </w:r>
    </w:p>
    <w:p w14:paraId="76AE722D" w14:textId="77777777" w:rsidR="00DB75A4" w:rsidRDefault="00DB75A4">
      <w:pPr>
        <w:pStyle w:val="BodyText"/>
        <w:spacing w:before="5"/>
        <w:rPr>
          <w:i/>
          <w:sz w:val="15"/>
        </w:rPr>
      </w:pPr>
    </w:p>
    <w:p w14:paraId="76AE722E" w14:textId="77777777" w:rsidR="00DB75A4" w:rsidRDefault="002E014C" w:rsidP="00A96FEE">
      <w:pPr>
        <w:pStyle w:val="Heading2"/>
        <w:numPr>
          <w:ilvl w:val="0"/>
          <w:numId w:val="1"/>
        </w:numPr>
        <w:tabs>
          <w:tab w:val="left" w:pos="1170"/>
        </w:tabs>
        <w:spacing w:before="100"/>
        <w:ind w:left="1080" w:hanging="360"/>
        <w:jc w:val="both"/>
        <w:rPr>
          <w:rFonts w:hint="eastAsia"/>
        </w:rPr>
      </w:pPr>
      <w:r>
        <w:rPr>
          <w:rFonts w:hint="eastAsia"/>
        </w:rPr>
        <w:t xml:space="preserve">对账单提出疑义的程序。</w:t>
      </w:r>
    </w:p>
    <w:p w14:paraId="76AE722F" w14:textId="77777777" w:rsidR="00DB75A4" w:rsidRDefault="002E014C">
      <w:pPr>
        <w:pStyle w:val="BodyText"/>
        <w:ind w:left="1040" w:right="816"/>
        <w:jc w:val="both"/>
        <w:rPr>
          <w:rFonts w:hint="eastAsia"/>
        </w:rPr>
      </w:pPr>
      <w:r>
        <w:rPr>
          <w:rFonts w:hint="eastAsia"/>
        </w:rPr>
        <w:t xml:space="preserve">如果对水费账单的准确性存疑，在册客户可在收到存疑的账单后10天内以书面形式提出疑义，或者请求就账单金额展开调查。</w:t>
      </w:r>
      <w:r>
        <w:rPr>
          <w:rFonts w:hint="eastAsia"/>
        </w:rPr>
        <w:t xml:space="preserve">以书面形式提出的疑义必需附有证明材料或证据。</w:t>
      </w:r>
    </w:p>
    <w:p w14:paraId="76AE7230" w14:textId="77777777" w:rsidR="00DB75A4" w:rsidRDefault="00DB75A4">
      <w:pPr>
        <w:pStyle w:val="BodyText"/>
      </w:pPr>
    </w:p>
    <w:p w14:paraId="76AE7231" w14:textId="6A4883D2" w:rsidR="00DB75A4" w:rsidRDefault="002E014C">
      <w:pPr>
        <w:pStyle w:val="BodyText"/>
        <w:ind w:left="1040" w:right="813"/>
        <w:jc w:val="both"/>
        <w:rPr>
          <w:rFonts w:hint="eastAsia"/>
        </w:rPr>
      </w:pPr>
      <w:r>
        <w:rPr>
          <w:rFonts w:hint="eastAsia"/>
        </w:rPr>
        <w:t xml:space="preserve">财务或会计经理将负责审核所有及时提出的疑义或调查请求。</w:t>
      </w:r>
      <w:r>
        <w:rPr>
          <w:rFonts w:hint="eastAsia"/>
        </w:rPr>
        <w:t xml:space="preserve">审核将包括考虑对于欠缴客户是否可获准予进行延期缴费或分期缴费。</w:t>
      </w:r>
      <w:r>
        <w:rPr>
          <w:rFonts w:hint="eastAsia"/>
        </w:rPr>
        <w:t xml:space="preserve">在调查相关疑义期间，或者上告期间，本区不会中断供水服务。</w:t>
      </w:r>
      <w:r>
        <w:rPr>
          <w:rFonts w:hint="eastAsia"/>
        </w:rPr>
        <w:t xml:space="preserve">本区将酌情考虑是否审核未及时提出的疑义或调查请求，但此类疑义或请求不得上告。</w:t>
      </w:r>
    </w:p>
    <w:p w14:paraId="76AE7232" w14:textId="77777777" w:rsidR="00DB75A4" w:rsidRDefault="00DB75A4">
      <w:pPr>
        <w:pStyle w:val="BodyText"/>
        <w:spacing w:before="10"/>
        <w:rPr>
          <w:sz w:val="23"/>
        </w:rPr>
      </w:pPr>
    </w:p>
    <w:p w14:paraId="76AE7233" w14:textId="27E16038" w:rsidR="00DB75A4" w:rsidRDefault="002E014C" w:rsidP="003A6CBC">
      <w:pPr>
        <w:pStyle w:val="Heading2"/>
        <w:keepNext/>
        <w:keepLines/>
        <w:numPr>
          <w:ilvl w:val="0"/>
          <w:numId w:val="1"/>
        </w:numPr>
        <w:tabs>
          <w:tab w:val="left" w:pos="1080"/>
        </w:tabs>
        <w:ind w:left="1080" w:hanging="360"/>
        <w:jc w:val="both"/>
        <w:rPr>
          <w:rFonts w:hint="eastAsia"/>
        </w:rPr>
      </w:pPr>
      <w:r>
        <w:rPr>
          <w:rFonts w:hint="eastAsia"/>
        </w:rPr>
        <w:t xml:space="preserve">向财务部门上告</w:t>
      </w:r>
    </w:p>
    <w:p w14:paraId="76AE7234" w14:textId="2470FC4B" w:rsidR="00DB75A4" w:rsidRDefault="002E014C" w:rsidP="003A6CBC">
      <w:pPr>
        <w:pStyle w:val="BodyText"/>
        <w:keepNext/>
        <w:keepLines/>
        <w:ind w:left="1039" w:right="815"/>
        <w:jc w:val="both"/>
        <w:rPr>
          <w:rFonts w:hint="eastAsia"/>
        </w:rPr>
      </w:pPr>
      <w:r>
        <w:rPr>
          <w:rFonts w:hint="eastAsia"/>
        </w:rPr>
        <w:t xml:space="preserve">如果存有疑义者对财务或会计经理的决定不满意，其可以在财务总监作出决定后的10天内以书面形式向董事会上告。</w:t>
      </w:r>
      <w:r>
        <w:rPr>
          <w:rFonts w:hint="eastAsia"/>
        </w:rPr>
        <w:t xml:space="preserve">提交上告材料后，董事会将在10天内就上告以书面形式回复存有疑义者。</w:t>
      </w:r>
    </w:p>
    <w:p w14:paraId="76AE7235" w14:textId="77777777" w:rsidR="00DB75A4" w:rsidRDefault="00DB75A4">
      <w:pPr>
        <w:pStyle w:val="BodyText"/>
      </w:pPr>
    </w:p>
    <w:p w14:paraId="76AE7236" w14:textId="77777777" w:rsidR="00DB75A4" w:rsidRDefault="002E014C">
      <w:pPr>
        <w:pStyle w:val="BodyText"/>
        <w:spacing w:before="1"/>
        <w:ind w:left="1039"/>
        <w:jc w:val="both"/>
        <w:rPr>
          <w:rFonts w:hint="eastAsia"/>
        </w:rPr>
      </w:pPr>
      <w:r>
        <w:rPr>
          <w:rFonts w:hint="eastAsia"/>
        </w:rPr>
        <w:t xml:space="preserve">如果客户对委员会的书面回复不满意，</w:t>
      </w:r>
    </w:p>
    <w:p w14:paraId="76AE7237" w14:textId="30E87841" w:rsidR="00DB75A4" w:rsidRDefault="002E014C">
      <w:pPr>
        <w:pStyle w:val="BodyText"/>
        <w:ind w:left="1039" w:right="815"/>
        <w:jc w:val="both"/>
        <w:rPr>
          <w:rFonts w:hint="eastAsia"/>
        </w:rPr>
      </w:pPr>
      <w:r>
        <w:rPr>
          <w:rFonts w:hint="eastAsia"/>
        </w:rPr>
        <w:t xml:space="preserve">其可在该书面回复之日起10天内通过请求与委员会召开会议对该回复提出上告。</w:t>
      </w:r>
      <w:r>
        <w:rPr>
          <w:rFonts w:hint="eastAsia"/>
        </w:rPr>
        <w:t xml:space="preserve">会议将尽快举行，存有疑义者将会收到会议时间、地点的书面通知。</w:t>
      </w:r>
      <w:r>
        <w:rPr>
          <w:rFonts w:hint="eastAsia"/>
        </w:rPr>
        <w:t xml:space="preserve">会议结束中，委员会将在10天内以书面形式向存有疑义者报告其决定。</w:t>
      </w:r>
    </w:p>
    <w:p w14:paraId="76AE723B" w14:textId="77777777" w:rsidR="00DB75A4" w:rsidRDefault="00DB75A4">
      <w:pPr>
        <w:pStyle w:val="BodyText"/>
        <w:spacing w:before="1"/>
      </w:pPr>
    </w:p>
    <w:p w14:paraId="0BF65BE2" w14:textId="4B59C368" w:rsidR="00A96FEE" w:rsidRDefault="002E014C" w:rsidP="00A96FEE">
      <w:pPr>
        <w:pStyle w:val="Heading1"/>
        <w:rPr>
          <w:spacing w:val="-5"/>
          <w:u w:val="single"/>
          <w:rFonts w:hint="eastAsia"/>
        </w:rPr>
      </w:pPr>
      <w:r>
        <w:rPr>
          <w:u w:val="single"/>
          <w:rFonts w:hint="eastAsia"/>
        </w:rPr>
        <w:t xml:space="preserve">第6节：</w:t>
      </w:r>
      <w:r>
        <w:rPr>
          <w:u w:val="single"/>
          <w:rFonts w:hint="eastAsia"/>
        </w:rPr>
        <w:t xml:space="preserve">本区联系方式</w:t>
      </w:r>
      <w:r>
        <w:rPr>
          <w:u w:val="single"/>
          <w:rFonts w:hint="eastAsia"/>
        </w:rPr>
        <w:t xml:space="preserve"> </w:t>
      </w:r>
    </w:p>
    <w:p w14:paraId="1186048A" w14:textId="77777777" w:rsidR="00A96FEE" w:rsidRPr="00A96FEE" w:rsidRDefault="00A96FEE" w:rsidP="00A96FEE">
      <w:pPr>
        <w:pStyle w:val="Heading1"/>
        <w:rPr>
          <w:spacing w:val="-5"/>
          <w:sz w:val="15"/>
          <w:szCs w:val="15"/>
          <w:u w:val="single"/>
        </w:rPr>
      </w:pPr>
    </w:p>
    <w:p w14:paraId="76AE723E" w14:textId="51676DF0" w:rsidR="00DB75A4" w:rsidRDefault="002E014C" w:rsidP="00A96FEE">
      <w:pPr>
        <w:pStyle w:val="BodyText"/>
        <w:ind w:left="1039" w:right="815"/>
        <w:jc w:val="both"/>
        <w:rPr>
          <w:rFonts w:hint="eastAsia"/>
        </w:rPr>
      </w:pPr>
      <w:r>
        <w:rPr>
          <w:rFonts w:hint="eastAsia"/>
        </w:rPr>
        <w:t xml:space="preserve">对于水费账单方面的问题或者如需水费账单方面的帮助，包括为避免供水服务中断的补缴方案，可在正常营业时间致电661-944-2015或者发送电子邮件至</w:t>
      </w:r>
      <w:hyperlink r:id="rId11" w:history="1">
        <w:r>
          <w:rPr>
            <w:rStyle w:val="Hyperlink"/>
            <w:rFonts w:hint="eastAsia"/>
          </w:rPr>
          <w:t xml:space="preserve">lortiz@lrcid.com</w:t>
        </w:r>
      </w:hyperlink>
      <w:r>
        <w:rPr>
          <w:rFonts w:hint="eastAsia"/>
        </w:rPr>
        <w:t xml:space="preserve">，与本区客服人员联系。</w:t>
      </w:r>
      <w:r>
        <w:rPr>
          <w:rFonts w:hint="eastAsia"/>
        </w:rPr>
        <w:t xml:space="preserve">  </w:t>
      </w:r>
      <w:r>
        <w:rPr>
          <w:rFonts w:hint="eastAsia"/>
        </w:rPr>
        <w:t xml:space="preserve">正常营业时间为周一至周四，从上午7点到下午5:30，周五和节假日休息。</w:t>
      </w:r>
    </w:p>
    <w:p w14:paraId="76AE7243" w14:textId="77777777" w:rsidR="00DB75A4" w:rsidRPr="00A96FEE" w:rsidRDefault="00DB75A4" w:rsidP="00A96FEE">
      <w:pPr>
        <w:pStyle w:val="BodyText"/>
        <w:ind w:left="1039" w:right="815"/>
        <w:jc w:val="both"/>
      </w:pPr>
    </w:p>
    <w:p w14:paraId="76AE7244" w14:textId="77777777" w:rsidR="00DB75A4" w:rsidRPr="00A96FEE" w:rsidRDefault="00DB75A4" w:rsidP="00A96FEE">
      <w:pPr>
        <w:pStyle w:val="BodyText"/>
        <w:ind w:left="1039" w:right="815"/>
        <w:jc w:val="both"/>
      </w:pPr>
    </w:p>
    <w:sectPr w:rsidR="00DB75A4" w:rsidRPr="00A96FEE">
      <w:headerReference w:type="default" r:id="rId12"/>
      <w:footerReference w:type="default" r:id="rId13"/>
      <w:pgSz w:w="12240" w:h="15840"/>
      <w:pgMar w:top="1300" w:right="620" w:bottom="1200" w:left="760" w:header="726"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024BB" w14:textId="77777777" w:rsidR="008E61F5" w:rsidRDefault="008E61F5">
      <w:r>
        <w:separator/>
      </w:r>
    </w:p>
  </w:endnote>
  <w:endnote w:type="continuationSeparator" w:id="0">
    <w:p w14:paraId="34C979FF" w14:textId="77777777" w:rsidR="008E61F5" w:rsidRDefault="008E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04800"/>
      <w:docPartObj>
        <w:docPartGallery w:val="Page Numbers (Bottom of Page)"/>
        <w:docPartUnique/>
      </w:docPartObj>
    </w:sdtPr>
    <w:sdtEndPr>
      <w:rPr>
        <w:noProof/>
        <w:sz w:val="24"/>
        <w:szCs w:val="24"/>
      </w:rPr>
    </w:sdtEndPr>
    <w:pPr>
      <w:rPr>
        <w:rFonts w:hint="eastAsia"/>
      </w:rPr>
    </w:pPr>
    <w:sdtContent>
      <w:p w14:paraId="21B3E22D" w14:textId="3B2C405F" w:rsidR="00A96FEE" w:rsidRPr="00A96FEE" w:rsidRDefault="00A96FEE" w:rsidP="00A96FEE">
        <w:pPr>
          <w:pStyle w:val="Footer"/>
          <w:ind w:right="780"/>
          <w:jc w:val="right"/>
          <w:rPr>
            <w:sz w:val="24"/>
            <w:szCs w:val="24"/>
            <w:rFonts w:hint="eastAsia"/>
          </w:rPr>
        </w:pPr>
        <w:r w:rsidRPr="00A96FEE">
          <w:rPr>
            <w:sz w:val="24"/>
            <w:szCs w:val="24"/>
            <w:rFonts w:hint="eastAsia"/>
          </w:rPr>
          <w:fldChar w:fldCharType="begin"/>
        </w:r>
        <w:r w:rsidRPr="00A96FEE">
          <w:rPr>
            <w:sz w:val="24"/>
            <w:szCs w:val="24"/>
            <w:rFonts w:hint="eastAsia"/>
          </w:rPr>
          <w:instrText xml:space="preserve"> PAGE   \* MERGEFORMAT </w:instrText>
        </w:r>
        <w:r w:rsidRPr="00A96FEE">
          <w:rPr>
            <w:sz w:val="24"/>
            <w:szCs w:val="24"/>
            <w:rFonts w:hint="eastAsia"/>
          </w:rPr>
          <w:fldChar w:fldCharType="separate"/>
        </w:r>
        <w:r w:rsidR="00E309BF">
          <w:rPr>
            <w:sz w:val="24"/>
            <w:szCs w:val="24"/>
            <w:rFonts w:hint="eastAsia"/>
          </w:rPr>
          <w:t>3</w:t>
        </w:r>
        <w:r w:rsidRPr="00A96FEE">
          <w:rPr>
            <w:sz w:val="24"/>
            <w:szCs w:val="24"/>
            <w:rFonts w:hint="eastAsia"/>
          </w:rPr>
          <w:fldChar w:fldCharType="end"/>
        </w:r>
      </w:p>
    </w:sdtContent>
  </w:sdt>
  <w:p w14:paraId="76AE724D" w14:textId="56492EB6" w:rsidR="00DB75A4" w:rsidRDefault="00DB75A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BBA5F" w14:textId="77777777" w:rsidR="008E61F5" w:rsidRDefault="008E61F5">
      <w:r>
        <w:separator/>
      </w:r>
    </w:p>
  </w:footnote>
  <w:footnote w:type="continuationSeparator" w:id="0">
    <w:p w14:paraId="3210A0F9" w14:textId="77777777" w:rsidR="008E61F5" w:rsidRDefault="008E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724C" w14:textId="04D7EAB6" w:rsidR="00DB75A4" w:rsidRDefault="00DB75A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375"/>
    <w:multiLevelType w:val="hybridMultilevel"/>
    <w:tmpl w:val="9868637C"/>
    <w:lvl w:ilvl="0" w:tplc="EB9AF00C">
      <w:start w:val="1"/>
      <w:numFmt w:val="upperLetter"/>
      <w:lvlText w:val="%1."/>
      <w:lvlJc w:val="left"/>
      <w:pPr>
        <w:ind w:left="1040" w:hanging="269"/>
        <w:jc w:val="right"/>
      </w:pPr>
      <w:rPr>
        <w:rFonts w:ascii="Gill Sans MT" w:eastAsia="Gill Sans MT" w:hAnsi="Gill Sans MT" w:cs="Gill Sans MT" w:hint="default"/>
        <w:b/>
        <w:bCs/>
        <w:i w:val="0"/>
        <w:iCs w:val="0"/>
        <w:spacing w:val="-1"/>
        <w:w w:val="100"/>
        <w:sz w:val="22"/>
        <w:szCs w:val="22"/>
        <w:lang w:val="en-US" w:eastAsia="en-US" w:bidi="ar-SA"/>
      </w:rPr>
    </w:lvl>
    <w:lvl w:ilvl="1" w:tplc="B9706BE4">
      <w:numFmt w:val="bullet"/>
      <w:lvlText w:val="•"/>
      <w:lvlJc w:val="left"/>
      <w:pPr>
        <w:ind w:left="2022" w:hanging="269"/>
      </w:pPr>
      <w:rPr>
        <w:rFonts w:hint="default"/>
        <w:lang w:val="en-US" w:eastAsia="en-US" w:bidi="ar-SA"/>
      </w:rPr>
    </w:lvl>
    <w:lvl w:ilvl="2" w:tplc="7F9AAB0A">
      <w:numFmt w:val="bullet"/>
      <w:lvlText w:val="•"/>
      <w:lvlJc w:val="left"/>
      <w:pPr>
        <w:ind w:left="3004" w:hanging="269"/>
      </w:pPr>
      <w:rPr>
        <w:rFonts w:hint="default"/>
        <w:lang w:val="en-US" w:eastAsia="en-US" w:bidi="ar-SA"/>
      </w:rPr>
    </w:lvl>
    <w:lvl w:ilvl="3" w:tplc="2006010C">
      <w:numFmt w:val="bullet"/>
      <w:lvlText w:val="•"/>
      <w:lvlJc w:val="left"/>
      <w:pPr>
        <w:ind w:left="3986" w:hanging="269"/>
      </w:pPr>
      <w:rPr>
        <w:rFonts w:hint="default"/>
        <w:lang w:val="en-US" w:eastAsia="en-US" w:bidi="ar-SA"/>
      </w:rPr>
    </w:lvl>
    <w:lvl w:ilvl="4" w:tplc="614E6574">
      <w:numFmt w:val="bullet"/>
      <w:lvlText w:val="•"/>
      <w:lvlJc w:val="left"/>
      <w:pPr>
        <w:ind w:left="4968" w:hanging="269"/>
      </w:pPr>
      <w:rPr>
        <w:rFonts w:hint="default"/>
        <w:lang w:val="en-US" w:eastAsia="en-US" w:bidi="ar-SA"/>
      </w:rPr>
    </w:lvl>
    <w:lvl w:ilvl="5" w:tplc="8FA88904">
      <w:numFmt w:val="bullet"/>
      <w:lvlText w:val="•"/>
      <w:lvlJc w:val="left"/>
      <w:pPr>
        <w:ind w:left="5950" w:hanging="269"/>
      </w:pPr>
      <w:rPr>
        <w:rFonts w:hint="default"/>
        <w:lang w:val="en-US" w:eastAsia="en-US" w:bidi="ar-SA"/>
      </w:rPr>
    </w:lvl>
    <w:lvl w:ilvl="6" w:tplc="F53455E6">
      <w:numFmt w:val="bullet"/>
      <w:lvlText w:val="•"/>
      <w:lvlJc w:val="left"/>
      <w:pPr>
        <w:ind w:left="6932" w:hanging="269"/>
      </w:pPr>
      <w:rPr>
        <w:rFonts w:hint="default"/>
        <w:lang w:val="en-US" w:eastAsia="en-US" w:bidi="ar-SA"/>
      </w:rPr>
    </w:lvl>
    <w:lvl w:ilvl="7" w:tplc="F3521FCC">
      <w:numFmt w:val="bullet"/>
      <w:lvlText w:val="•"/>
      <w:lvlJc w:val="left"/>
      <w:pPr>
        <w:ind w:left="7914" w:hanging="269"/>
      </w:pPr>
      <w:rPr>
        <w:rFonts w:hint="default"/>
        <w:lang w:val="en-US" w:eastAsia="en-US" w:bidi="ar-SA"/>
      </w:rPr>
    </w:lvl>
    <w:lvl w:ilvl="8" w:tplc="3E1642F4">
      <w:numFmt w:val="bullet"/>
      <w:lvlText w:val="•"/>
      <w:lvlJc w:val="left"/>
      <w:pPr>
        <w:ind w:left="8896" w:hanging="269"/>
      </w:pPr>
      <w:rPr>
        <w:rFonts w:hint="default"/>
        <w:lang w:val="en-US" w:eastAsia="en-US" w:bidi="ar-SA"/>
      </w:rPr>
    </w:lvl>
  </w:abstractNum>
  <w:abstractNum w:abstractNumId="1">
    <w:nsid w:val="77A96490"/>
    <w:multiLevelType w:val="hybridMultilevel"/>
    <w:tmpl w:val="B874D416"/>
    <w:lvl w:ilvl="0" w:tplc="DC369FC8">
      <w:start w:val="1"/>
      <w:numFmt w:val="upperLetter"/>
      <w:lvlText w:val="%1."/>
      <w:lvlJc w:val="left"/>
      <w:pPr>
        <w:ind w:left="1040" w:hanging="360"/>
      </w:pPr>
      <w:rPr>
        <w:rFonts w:hint="default"/>
        <w:b/>
        <w:bCs w:val="0"/>
        <w:w w:val="100"/>
        <w:lang w:val="en-US" w:eastAsia="en-US" w:bidi="ar-SA"/>
      </w:rPr>
    </w:lvl>
    <w:lvl w:ilvl="1" w:tplc="84A073E4">
      <w:start w:val="1"/>
      <w:numFmt w:val="decimal"/>
      <w:lvlText w:val="%2."/>
      <w:lvlJc w:val="left"/>
      <w:pPr>
        <w:ind w:left="1400" w:hanging="360"/>
      </w:pPr>
      <w:rPr>
        <w:rFonts w:ascii="Gill Sans MT" w:eastAsia="Gill Sans MT" w:hAnsi="Gill Sans MT" w:cs="Gill Sans MT" w:hint="default"/>
        <w:b w:val="0"/>
        <w:bCs w:val="0"/>
        <w:i w:val="0"/>
        <w:iCs w:val="0"/>
        <w:w w:val="100"/>
        <w:sz w:val="24"/>
        <w:szCs w:val="24"/>
        <w:lang w:val="en-US" w:eastAsia="en-US" w:bidi="ar-SA"/>
      </w:rPr>
    </w:lvl>
    <w:lvl w:ilvl="2" w:tplc="734A3F96">
      <w:start w:val="1"/>
      <w:numFmt w:val="lowerLetter"/>
      <w:lvlText w:val="%3."/>
      <w:lvlJc w:val="left"/>
      <w:pPr>
        <w:ind w:left="1760" w:hanging="360"/>
      </w:pPr>
      <w:rPr>
        <w:rFonts w:ascii="Gill Sans MT" w:eastAsia="Gill Sans MT" w:hAnsi="Gill Sans MT" w:cs="Gill Sans MT" w:hint="default"/>
        <w:b w:val="0"/>
        <w:bCs w:val="0"/>
        <w:i w:val="0"/>
        <w:iCs w:val="0"/>
        <w:w w:val="100"/>
        <w:sz w:val="24"/>
        <w:szCs w:val="24"/>
        <w:lang w:val="en-US" w:eastAsia="en-US" w:bidi="ar-SA"/>
      </w:rPr>
    </w:lvl>
    <w:lvl w:ilvl="3" w:tplc="B4AA842A">
      <w:numFmt w:val="bullet"/>
      <w:lvlText w:val="•"/>
      <w:lvlJc w:val="left"/>
      <w:pPr>
        <w:ind w:left="2897" w:hanging="360"/>
      </w:pPr>
      <w:rPr>
        <w:rFonts w:hint="default"/>
        <w:lang w:val="en-US" w:eastAsia="en-US" w:bidi="ar-SA"/>
      </w:rPr>
    </w:lvl>
    <w:lvl w:ilvl="4" w:tplc="E47609F8">
      <w:numFmt w:val="bullet"/>
      <w:lvlText w:val="•"/>
      <w:lvlJc w:val="left"/>
      <w:pPr>
        <w:ind w:left="4035" w:hanging="360"/>
      </w:pPr>
      <w:rPr>
        <w:rFonts w:hint="default"/>
        <w:lang w:val="en-US" w:eastAsia="en-US" w:bidi="ar-SA"/>
      </w:rPr>
    </w:lvl>
    <w:lvl w:ilvl="5" w:tplc="D7EC0CFC">
      <w:numFmt w:val="bullet"/>
      <w:lvlText w:val="•"/>
      <w:lvlJc w:val="left"/>
      <w:pPr>
        <w:ind w:left="5172" w:hanging="360"/>
      </w:pPr>
      <w:rPr>
        <w:rFonts w:hint="default"/>
        <w:lang w:val="en-US" w:eastAsia="en-US" w:bidi="ar-SA"/>
      </w:rPr>
    </w:lvl>
    <w:lvl w:ilvl="6" w:tplc="843C858E">
      <w:numFmt w:val="bullet"/>
      <w:lvlText w:val="•"/>
      <w:lvlJc w:val="left"/>
      <w:pPr>
        <w:ind w:left="6310" w:hanging="360"/>
      </w:pPr>
      <w:rPr>
        <w:rFonts w:hint="default"/>
        <w:lang w:val="en-US" w:eastAsia="en-US" w:bidi="ar-SA"/>
      </w:rPr>
    </w:lvl>
    <w:lvl w:ilvl="7" w:tplc="136A4940">
      <w:numFmt w:val="bullet"/>
      <w:lvlText w:val="•"/>
      <w:lvlJc w:val="left"/>
      <w:pPr>
        <w:ind w:left="7447" w:hanging="360"/>
      </w:pPr>
      <w:rPr>
        <w:rFonts w:hint="default"/>
        <w:lang w:val="en-US" w:eastAsia="en-US" w:bidi="ar-SA"/>
      </w:rPr>
    </w:lvl>
    <w:lvl w:ilvl="8" w:tplc="825460E2">
      <w:numFmt w:val="bullet"/>
      <w:lvlText w:val="•"/>
      <w:lvlJc w:val="left"/>
      <w:pPr>
        <w:ind w:left="8585"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dirty" w:grammar="dirty"/>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A4"/>
    <w:rsid w:val="000639C3"/>
    <w:rsid w:val="00092019"/>
    <w:rsid w:val="000A1667"/>
    <w:rsid w:val="000E100F"/>
    <w:rsid w:val="00120A8A"/>
    <w:rsid w:val="001808B7"/>
    <w:rsid w:val="001D790E"/>
    <w:rsid w:val="001F47E1"/>
    <w:rsid w:val="0020605B"/>
    <w:rsid w:val="002E014C"/>
    <w:rsid w:val="003012EC"/>
    <w:rsid w:val="00350DBA"/>
    <w:rsid w:val="003A6CBC"/>
    <w:rsid w:val="004C6E0A"/>
    <w:rsid w:val="00570992"/>
    <w:rsid w:val="00624798"/>
    <w:rsid w:val="00633105"/>
    <w:rsid w:val="0068449E"/>
    <w:rsid w:val="006D7C17"/>
    <w:rsid w:val="006F5833"/>
    <w:rsid w:val="007664C5"/>
    <w:rsid w:val="00854A21"/>
    <w:rsid w:val="00863A0A"/>
    <w:rsid w:val="008E61F5"/>
    <w:rsid w:val="00953CE2"/>
    <w:rsid w:val="00A3625C"/>
    <w:rsid w:val="00A96FEE"/>
    <w:rsid w:val="00B24787"/>
    <w:rsid w:val="00BE1FDA"/>
    <w:rsid w:val="00BE4668"/>
    <w:rsid w:val="00C60743"/>
    <w:rsid w:val="00C63A21"/>
    <w:rsid w:val="00CB5709"/>
    <w:rsid w:val="00DB75A4"/>
    <w:rsid w:val="00E309BF"/>
    <w:rsid w:val="00E42CD4"/>
    <w:rsid w:val="00E8149B"/>
    <w:rsid w:val="00F35807"/>
    <w:rsid w:val="00F54608"/>
    <w:rsid w:val="00F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eastAsia="SimSun" w:hAnsi="Gill Sans MT" w:cs="Gill Sans MT"/>
    </w:rPr>
  </w:style>
  <w:style w:type="paragraph" w:styleId="Heading1">
    <w:name w:val="heading 1"/>
    <w:basedOn w:val="Normal"/>
    <w:uiPriority w:val="9"/>
    <w:qFormat/>
    <w:pPr>
      <w:ind w:left="680"/>
      <w:outlineLvl w:val="0"/>
    </w:pPr>
    <w:rPr>
      <w:b/>
      <w:bCs/>
      <w:sz w:val="24"/>
      <w:szCs w:val="24"/>
    </w:rPr>
  </w:style>
  <w:style w:type="paragraph" w:styleId="Heading2">
    <w:name w:val="heading 2"/>
    <w:basedOn w:val="Normal"/>
    <w:uiPriority w:val="9"/>
    <w:unhideWhenUsed/>
    <w:qFormat/>
    <w:pPr>
      <w:ind w:left="1040"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6FEE"/>
    <w:pPr>
      <w:tabs>
        <w:tab w:val="center" w:pos="4680"/>
        <w:tab w:val="right" w:pos="9360"/>
      </w:tabs>
    </w:pPr>
  </w:style>
  <w:style w:type="character" w:customStyle="1" w:styleId="HeaderChar">
    <w:name w:val="Header Char"/>
    <w:basedOn w:val="DefaultParagraphFont"/>
    <w:link w:val="Header"/>
    <w:uiPriority w:val="99"/>
    <w:rsid w:val="00A96FEE"/>
    <w:rPr>
      <w:rFonts w:ascii="Gill Sans MT" w:eastAsia="SimSun" w:hAnsi="Gill Sans MT" w:cs="Gill Sans MT"/>
    </w:rPr>
  </w:style>
  <w:style w:type="paragraph" w:styleId="Footer">
    <w:name w:val="footer"/>
    <w:basedOn w:val="Normal"/>
    <w:link w:val="FooterChar"/>
    <w:uiPriority w:val="99"/>
    <w:unhideWhenUsed/>
    <w:rsid w:val="00A96FEE"/>
    <w:pPr>
      <w:tabs>
        <w:tab w:val="center" w:pos="4680"/>
        <w:tab w:val="right" w:pos="9360"/>
      </w:tabs>
    </w:pPr>
  </w:style>
  <w:style w:type="character" w:customStyle="1" w:styleId="FooterChar">
    <w:name w:val="Footer Char"/>
    <w:basedOn w:val="DefaultParagraphFont"/>
    <w:link w:val="Footer"/>
    <w:uiPriority w:val="99"/>
    <w:rsid w:val="00A96FEE"/>
    <w:rPr>
      <w:rFonts w:ascii="Gill Sans MT" w:eastAsia="SimSun" w:hAnsi="Gill Sans MT" w:cs="Gill Sans MT"/>
    </w:rPr>
  </w:style>
  <w:style w:type="character" w:styleId="Hyperlink">
    <w:name w:val="Hyperlink"/>
    <w:basedOn w:val="DefaultParagraphFont"/>
    <w:uiPriority w:val="99"/>
    <w:unhideWhenUsed/>
    <w:rsid w:val="00953CE2"/>
    <w:rPr>
      <w:color w:val="0000FF" w:themeColor="hyperlink"/>
      <w:u w:val="single"/>
    </w:rPr>
  </w:style>
  <w:style w:type="character" w:customStyle="1" w:styleId="UnresolvedMention">
    <w:name w:val="Unresolved Mention"/>
    <w:basedOn w:val="DefaultParagraphFont"/>
    <w:uiPriority w:val="99"/>
    <w:semiHidden/>
    <w:unhideWhenUsed/>
    <w:rsid w:val="00953C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680"/>
      <w:outlineLvl w:val="0"/>
    </w:pPr>
    <w:rPr>
      <w:b/>
      <w:bCs/>
      <w:sz w:val="24"/>
      <w:szCs w:val="24"/>
    </w:rPr>
  </w:style>
  <w:style w:type="paragraph" w:styleId="Heading2">
    <w:name w:val="heading 2"/>
    <w:basedOn w:val="Normal"/>
    <w:uiPriority w:val="9"/>
    <w:unhideWhenUsed/>
    <w:qFormat/>
    <w:pPr>
      <w:ind w:left="1040"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6FEE"/>
    <w:pPr>
      <w:tabs>
        <w:tab w:val="center" w:pos="4680"/>
        <w:tab w:val="right" w:pos="9360"/>
      </w:tabs>
    </w:pPr>
  </w:style>
  <w:style w:type="character" w:customStyle="1" w:styleId="HeaderChar">
    <w:name w:val="Header Char"/>
    <w:basedOn w:val="DefaultParagraphFont"/>
    <w:link w:val="Header"/>
    <w:uiPriority w:val="99"/>
    <w:rsid w:val="00A96FEE"/>
    <w:rPr>
      <w:rFonts w:ascii="Gill Sans MT" w:eastAsia="Gill Sans MT" w:hAnsi="Gill Sans MT" w:cs="Gill Sans MT"/>
    </w:rPr>
  </w:style>
  <w:style w:type="paragraph" w:styleId="Footer">
    <w:name w:val="footer"/>
    <w:basedOn w:val="Normal"/>
    <w:link w:val="FooterChar"/>
    <w:uiPriority w:val="99"/>
    <w:unhideWhenUsed/>
    <w:rsid w:val="00A96FEE"/>
    <w:pPr>
      <w:tabs>
        <w:tab w:val="center" w:pos="4680"/>
        <w:tab w:val="right" w:pos="9360"/>
      </w:tabs>
    </w:pPr>
  </w:style>
  <w:style w:type="character" w:customStyle="1" w:styleId="FooterChar">
    <w:name w:val="Footer Char"/>
    <w:basedOn w:val="DefaultParagraphFont"/>
    <w:link w:val="Footer"/>
    <w:uiPriority w:val="99"/>
    <w:rsid w:val="00A96FEE"/>
    <w:rPr>
      <w:rFonts w:ascii="Gill Sans MT" w:eastAsia="Gill Sans MT" w:hAnsi="Gill Sans MT" w:cs="Gill Sans MT"/>
    </w:rPr>
  </w:style>
  <w:style w:type="character" w:styleId="Hyperlink">
    <w:name w:val="Hyperlink"/>
    <w:basedOn w:val="DefaultParagraphFont"/>
    <w:uiPriority w:val="99"/>
    <w:unhideWhenUsed/>
    <w:rsid w:val="00953CE2"/>
    <w:rPr>
      <w:color w:val="0000FF" w:themeColor="hyperlink"/>
      <w:u w:val="single"/>
    </w:rPr>
  </w:style>
  <w:style w:type="character" w:customStyle="1" w:styleId="UnresolvedMention">
    <w:name w:val="Unresolved Mention"/>
    <w:basedOn w:val="DefaultParagraphFont"/>
    <w:uiPriority w:val="99"/>
    <w:semiHidden/>
    <w:unhideWhenUsed/>
    <w:rsid w:val="0095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ortiz@lrci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5733243150B4B94450A0D400F1BD2" ma:contentTypeVersion="12" ma:contentTypeDescription="Create a new document." ma:contentTypeScope="" ma:versionID="9215b6bc3c86a9cbc7c8dd5bb6e050ca">
  <xsd:schema xmlns:xsd="http://www.w3.org/2001/XMLSchema" xmlns:xs="http://www.w3.org/2001/XMLSchema" xmlns:p="http://schemas.microsoft.com/office/2006/metadata/properties" xmlns:ns2="f8e1699b-3da3-440f-86d5-dff1a70ab64a" xmlns:ns3="35bed1c6-aa40-477c-9841-e10c5512b977" targetNamespace="http://schemas.microsoft.com/office/2006/metadata/properties" ma:root="true" ma:fieldsID="4e1b7dda37ad436d8419c78e71fb7723" ns2:_="" ns3:_="">
    <xsd:import namespace="f8e1699b-3da3-440f-86d5-dff1a70ab64a"/>
    <xsd:import namespace="35bed1c6-aa40-477c-9841-e10c5512b9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1699b-3da3-440f-86d5-dff1a70ab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ed1c6-aa40-477c-9841-e10c5512b9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30602-0E47-467F-B320-21005CBF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1699b-3da3-440f-86d5-dff1a70ab64a"/>
    <ds:schemaRef ds:uri="35bed1c6-aa40-477c-9841-e10c5512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72C87-DEF5-47C7-9241-81FE2902273C}">
  <ds:schemaRefs>
    <ds:schemaRef ds:uri="http://schemas.microsoft.com/sharepoint/v3/contenttype/forms"/>
  </ds:schemaRefs>
</ds:datastoreItem>
</file>

<file path=customXml/itemProps3.xml><?xml version="1.0" encoding="utf-8"?>
<ds:datastoreItem xmlns:ds="http://schemas.openxmlformats.org/officeDocument/2006/customXml" ds:itemID="{2839728A-0C5B-4EE7-89A8-0D5D407BB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Orioli</dc:creator>
  <cp:lastModifiedBy>Shelley Golden</cp:lastModifiedBy>
  <cp:revision>3</cp:revision>
  <dcterms:created xsi:type="dcterms:W3CDTF">2022-02-01T21:29:00Z</dcterms:created>
  <dcterms:modified xsi:type="dcterms:W3CDTF">2022-02-01T21:46:00Z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20 for Word</vt:lpwstr>
  </property>
  <property fmtid="{D5CDD505-2E9C-101B-9397-08002B2CF9AE}" pid="4" name="LastSaved">
    <vt:filetime>2021-11-29T00:00:00Z</vt:filetime>
  </property>
  <property fmtid="{D5CDD505-2E9C-101B-9397-08002B2CF9AE}" pid="5" name="ContentTypeId">
    <vt:lpwstr>0x0101001105733243150B4B94450A0D400F1BD2</vt:lpwstr>
  </property>
</Properties>
</file>